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附表：汉学院2019届毕业生数据统计表</w:t>
      </w:r>
    </w:p>
    <w:tbl>
      <w:tblPr>
        <w:tblStyle w:val="3"/>
        <w:tblW w:w="81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51"/>
        <w:gridCol w:w="885"/>
        <w:gridCol w:w="1128"/>
        <w:gridCol w:w="1318"/>
        <w:gridCol w:w="645"/>
        <w:gridCol w:w="882"/>
        <w:gridCol w:w="968"/>
        <w:gridCol w:w="865"/>
        <w:gridCol w:w="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毕业生总人数</w:t>
            </w: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生源分布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就业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毕业生去向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人数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占就业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生比例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（%）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占毕业生比例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（%）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就业率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本省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外省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已就业或升学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直接就业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84.12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60.23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国内升学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12.69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9.09</w:t>
            </w: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国家基层项目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出国出境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国外升学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3.17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2.27</w:t>
            </w:r>
          </w:p>
        </w:tc>
        <w:tc>
          <w:tcPr>
            <w:tcW w:w="873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国外就业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3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未就业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二次考研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1.59</w:t>
            </w: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1.14</w:t>
            </w:r>
          </w:p>
        </w:tc>
        <w:tc>
          <w:tcPr>
            <w:tcW w:w="87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继续求职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39.68</w:t>
            </w: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28.40</w:t>
            </w:r>
          </w:p>
        </w:tc>
        <w:tc>
          <w:tcPr>
            <w:tcW w:w="87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合 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260" w:right="1286" w:bottom="14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6F8C"/>
    <w:rsid w:val="52206F8C"/>
    <w:rsid w:val="542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2019-12-24T10:15:00Z</dcterms:created>
  <dc:creator>我就是那个谁那个谁就是我</dc:creator>
  <cp:lastModifiedBy>我就是那个谁那个谁就是我</cp:lastModifiedBy>
  <dcterms:modified xsi:type="dcterms:W3CDTF">2019-12-24T10:16:00Z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